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70E" w:rsidRPr="00C4170E" w:rsidRDefault="00C4170E" w:rsidP="00C4170E">
      <w:pPr>
        <w:shd w:val="clear" w:color="auto" w:fill="FFFFFF"/>
        <w:spacing w:after="45" w:line="240" w:lineRule="auto"/>
        <w:outlineLvl w:val="0"/>
        <w:rPr>
          <w:rFonts w:ascii="Arial" w:eastAsia="Times New Roman" w:hAnsi="Arial" w:cs="Arial"/>
          <w:color w:val="000000"/>
          <w:kern w:val="36"/>
          <w:sz w:val="30"/>
          <w:szCs w:val="30"/>
          <w:lang w:eastAsia="ru-RU"/>
        </w:rPr>
      </w:pPr>
      <w:r w:rsidRPr="00C4170E">
        <w:rPr>
          <w:rFonts w:ascii="Arial" w:eastAsia="Times New Roman" w:hAnsi="Arial" w:cs="Arial"/>
          <w:color w:val="000000"/>
          <w:kern w:val="36"/>
          <w:sz w:val="30"/>
          <w:szCs w:val="30"/>
          <w:lang w:eastAsia="ru-RU"/>
        </w:rPr>
        <w:t>ПРИЕМЫ ИНОСКАЗАНИЯ В ТАТАРСКОЙ ЛИТЕРАТУРЕ КАК СФЕРА ПРОЯВЛЕНИЯ НАЦИОНАЛЬНОЙ СПЕЦИФИКИ ТЕКСТА</w:t>
      </w:r>
    </w:p>
    <w:p w:rsidR="00C4170E" w:rsidRPr="00C4170E" w:rsidRDefault="00C4170E" w:rsidP="00C4170E">
      <w:pPr>
        <w:shd w:val="clear" w:color="auto" w:fill="FFFFFF"/>
        <w:spacing w:before="105" w:after="105" w:line="240" w:lineRule="auto"/>
        <w:jc w:val="right"/>
        <w:rPr>
          <w:rFonts w:ascii="Arial" w:eastAsia="Times New Roman" w:hAnsi="Arial" w:cs="Arial"/>
          <w:color w:val="222222"/>
          <w:sz w:val="21"/>
          <w:szCs w:val="21"/>
          <w:lang w:eastAsia="ru-RU"/>
        </w:rPr>
      </w:pPr>
      <w:r w:rsidRPr="00C4170E">
        <w:rPr>
          <w:rFonts w:ascii="Arial" w:eastAsia="Times New Roman" w:hAnsi="Arial" w:cs="Arial"/>
          <w:b/>
          <w:bCs/>
          <w:color w:val="222222"/>
          <w:sz w:val="21"/>
          <w:szCs w:val="21"/>
          <w:lang w:eastAsia="ru-RU"/>
        </w:rPr>
        <w:br/>
        <w:t xml:space="preserve">Дания </w:t>
      </w:r>
      <w:proofErr w:type="spellStart"/>
      <w:r w:rsidRPr="00C4170E">
        <w:rPr>
          <w:rFonts w:ascii="Arial" w:eastAsia="Times New Roman" w:hAnsi="Arial" w:cs="Arial"/>
          <w:b/>
          <w:bCs/>
          <w:color w:val="222222"/>
          <w:sz w:val="21"/>
          <w:szCs w:val="21"/>
          <w:lang w:eastAsia="ru-RU"/>
        </w:rPr>
        <w:t>Фатиховна</w:t>
      </w:r>
      <w:proofErr w:type="spellEnd"/>
      <w:r w:rsidRPr="00C4170E">
        <w:rPr>
          <w:rFonts w:ascii="Arial" w:eastAsia="Times New Roman" w:hAnsi="Arial" w:cs="Arial"/>
          <w:b/>
          <w:bCs/>
          <w:color w:val="222222"/>
          <w:sz w:val="21"/>
          <w:szCs w:val="21"/>
          <w:lang w:eastAsia="ru-RU"/>
        </w:rPr>
        <w:t xml:space="preserve"> </w:t>
      </w:r>
      <w:proofErr w:type="spellStart"/>
      <w:r w:rsidRPr="00C4170E">
        <w:rPr>
          <w:rFonts w:ascii="Arial" w:eastAsia="Times New Roman" w:hAnsi="Arial" w:cs="Arial"/>
          <w:b/>
          <w:bCs/>
          <w:color w:val="222222"/>
          <w:sz w:val="21"/>
          <w:szCs w:val="21"/>
          <w:lang w:eastAsia="ru-RU"/>
        </w:rPr>
        <w:t>Загидуллина</w:t>
      </w:r>
      <w:proofErr w:type="spellEnd"/>
      <w:r w:rsidRPr="00C4170E">
        <w:rPr>
          <w:rFonts w:ascii="Arial" w:eastAsia="Times New Roman" w:hAnsi="Arial" w:cs="Arial"/>
          <w:b/>
          <w:bCs/>
          <w:color w:val="222222"/>
          <w:sz w:val="21"/>
          <w:szCs w:val="21"/>
          <w:lang w:eastAsia="ru-RU"/>
        </w:rPr>
        <w:t>,</w:t>
      </w:r>
    </w:p>
    <w:p w:rsidR="00C4170E" w:rsidRPr="00C4170E" w:rsidRDefault="00C4170E" w:rsidP="00C4170E">
      <w:pPr>
        <w:shd w:val="clear" w:color="auto" w:fill="FFFFFF"/>
        <w:spacing w:before="105" w:after="105" w:line="240" w:lineRule="auto"/>
        <w:jc w:val="right"/>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Академия наук Республики Татарстан,</w:t>
      </w:r>
    </w:p>
    <w:p w:rsidR="00C4170E" w:rsidRPr="00C4170E" w:rsidRDefault="00C4170E" w:rsidP="00C4170E">
      <w:pPr>
        <w:shd w:val="clear" w:color="auto" w:fill="FFFFFF"/>
        <w:spacing w:before="105" w:after="105" w:line="240" w:lineRule="auto"/>
        <w:jc w:val="right"/>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Россия, 420111, Казань, ул. Баумана, 20,</w:t>
      </w:r>
    </w:p>
    <w:p w:rsidR="00C4170E" w:rsidRPr="00C4170E" w:rsidRDefault="00C4170E" w:rsidP="00C4170E">
      <w:pPr>
        <w:shd w:val="clear" w:color="auto" w:fill="FFFFFF"/>
        <w:spacing w:before="105" w:after="105" w:line="240" w:lineRule="auto"/>
        <w:jc w:val="right"/>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zagik63@mail.ru</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 </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Национальные литературы, рассматриваемые в мировом литературном процессе как некое целое, представляют собой уникальные духовно-практические образования. Характерные для каждой культуры национальные традиции дают представления о менталитете, мировоззрении, психологическом «состоянии» отдельного этноса. В связи с этим важным представляется изучение тех аспектов художественной формы и содержания произведения, в которых явственны процессы национально-культурной самоидентификации. Одной из таких сфер является система приемов иносказания, порождающих «второе содержание». Трансформируясь в ходе эволюции татарской литературы, она превратилась в «эзопов язык».</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 xml:space="preserve">Наличие в художественных текстах средневековья «скрытого» смысла объясняется особенностью религиозной картины мира, которая восходит к единственной оппозиции: макрокосмос и микрокосмос (Бог и человек). Мистическое стремление к Аллаху, особенно в </w:t>
      </w:r>
      <w:proofErr w:type="spellStart"/>
      <w:r w:rsidRPr="00C4170E">
        <w:rPr>
          <w:rFonts w:ascii="Arial" w:eastAsia="Times New Roman" w:hAnsi="Arial" w:cs="Arial"/>
          <w:color w:val="222222"/>
          <w:sz w:val="21"/>
          <w:szCs w:val="21"/>
          <w:lang w:eastAsia="ru-RU"/>
        </w:rPr>
        <w:t>суфийской</w:t>
      </w:r>
      <w:proofErr w:type="spellEnd"/>
      <w:r w:rsidRPr="00C4170E">
        <w:rPr>
          <w:rFonts w:ascii="Arial" w:eastAsia="Times New Roman" w:hAnsi="Arial" w:cs="Arial"/>
          <w:color w:val="222222"/>
          <w:sz w:val="21"/>
          <w:szCs w:val="21"/>
          <w:lang w:eastAsia="ru-RU"/>
        </w:rPr>
        <w:t xml:space="preserve"> литературе, составляло «второе» содержание художественного текста, которое, по сути, является основным и раскрывает религиозные представления об основах бытия. Этот скрытый смысл закодирован в устойчивых </w:t>
      </w:r>
      <w:proofErr w:type="spellStart"/>
      <w:r w:rsidRPr="00C4170E">
        <w:rPr>
          <w:rFonts w:ascii="Arial" w:eastAsia="Times New Roman" w:hAnsi="Arial" w:cs="Arial"/>
          <w:color w:val="222222"/>
          <w:sz w:val="21"/>
          <w:szCs w:val="21"/>
          <w:lang w:eastAsia="ru-RU"/>
        </w:rPr>
        <w:t>суфийских</w:t>
      </w:r>
      <w:proofErr w:type="spellEnd"/>
      <w:r w:rsidRPr="00C4170E">
        <w:rPr>
          <w:rFonts w:ascii="Arial" w:eastAsia="Times New Roman" w:hAnsi="Arial" w:cs="Arial"/>
          <w:color w:val="222222"/>
          <w:sz w:val="21"/>
          <w:szCs w:val="21"/>
          <w:lang w:eastAsia="ru-RU"/>
        </w:rPr>
        <w:t xml:space="preserve"> символах, которые создавали «особый язык» и обеспечивали вариативность прочтения текста.</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 xml:space="preserve">В связи с формированием светской литературы в начале ХХ века данная форма в татарской литературе переживает процесс трансформации. </w:t>
      </w:r>
      <w:proofErr w:type="spellStart"/>
      <w:r w:rsidRPr="00C4170E">
        <w:rPr>
          <w:rFonts w:ascii="Arial" w:eastAsia="Times New Roman" w:hAnsi="Arial" w:cs="Arial"/>
          <w:color w:val="222222"/>
          <w:sz w:val="21"/>
          <w:szCs w:val="21"/>
          <w:lang w:eastAsia="ru-RU"/>
        </w:rPr>
        <w:t>Суфийские</w:t>
      </w:r>
      <w:proofErr w:type="spellEnd"/>
      <w:r w:rsidRPr="00C4170E">
        <w:rPr>
          <w:rFonts w:ascii="Arial" w:eastAsia="Times New Roman" w:hAnsi="Arial" w:cs="Arial"/>
          <w:color w:val="222222"/>
          <w:sz w:val="21"/>
          <w:szCs w:val="21"/>
          <w:lang w:eastAsia="ru-RU"/>
        </w:rPr>
        <w:t xml:space="preserve"> символы сохраняют свое влияние, но вместо религиозного содержания они обретают иное – светское содержание, начинают служить средством выражения философской оценки основ бытия вообще.</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 xml:space="preserve">После 1917 года данная форма в татарской литературе теряет активность. Однако традиции воссоздания «второго содержания» дают о себе знать на материале гражданской лирики: впервые данное явление возрождается в творчестве </w:t>
      </w:r>
      <w:proofErr w:type="spellStart"/>
      <w:r w:rsidRPr="00C4170E">
        <w:rPr>
          <w:rFonts w:ascii="Arial" w:eastAsia="Times New Roman" w:hAnsi="Arial" w:cs="Arial"/>
          <w:color w:val="222222"/>
          <w:sz w:val="21"/>
          <w:szCs w:val="21"/>
          <w:lang w:eastAsia="ru-RU"/>
        </w:rPr>
        <w:t>А.Кутуя</w:t>
      </w:r>
      <w:proofErr w:type="spellEnd"/>
      <w:r w:rsidRPr="00C4170E">
        <w:rPr>
          <w:rFonts w:ascii="Arial" w:eastAsia="Times New Roman" w:hAnsi="Arial" w:cs="Arial"/>
          <w:color w:val="222222"/>
          <w:sz w:val="21"/>
          <w:szCs w:val="21"/>
          <w:lang w:eastAsia="ru-RU"/>
        </w:rPr>
        <w:t xml:space="preserve">. Противоречие между авторской позицией и позицией лирического героя в его стихотворениях указывает на наличие «скрытого смысла». Филолог по образованию, эстет и интеллектуал </w:t>
      </w:r>
      <w:proofErr w:type="spellStart"/>
      <w:r w:rsidRPr="00C4170E">
        <w:rPr>
          <w:rFonts w:ascii="Arial" w:eastAsia="Times New Roman" w:hAnsi="Arial" w:cs="Arial"/>
          <w:color w:val="222222"/>
          <w:sz w:val="21"/>
          <w:szCs w:val="21"/>
          <w:lang w:eastAsia="ru-RU"/>
        </w:rPr>
        <w:t>Кутуй</w:t>
      </w:r>
      <w:proofErr w:type="spellEnd"/>
      <w:r w:rsidRPr="00C4170E">
        <w:rPr>
          <w:rFonts w:ascii="Arial" w:eastAsia="Times New Roman" w:hAnsi="Arial" w:cs="Arial"/>
          <w:color w:val="222222"/>
          <w:sz w:val="21"/>
          <w:szCs w:val="21"/>
          <w:lang w:eastAsia="ru-RU"/>
        </w:rPr>
        <w:t xml:space="preserve"> создает в своих стихотворениях 1920-х гг. лирического героя – «представителя масс», нигилиста, который отрицает все ценности прошлого. Лирический герой, убивший своего дядю, воспитавшего его, или демонстрирующий отказ от предшествующей культуры, становится символом эпохи. Система иносказаний, характерная для данного типа культуры, предоставляла широкие возможности для выражения различных модусов художественности. В подтексте, образующем второй план содержания, трагический пафос соединяется </w:t>
      </w:r>
      <w:proofErr w:type="gramStart"/>
      <w:r w:rsidRPr="00C4170E">
        <w:rPr>
          <w:rFonts w:ascii="Arial" w:eastAsia="Times New Roman" w:hAnsi="Arial" w:cs="Arial"/>
          <w:color w:val="222222"/>
          <w:sz w:val="21"/>
          <w:szCs w:val="21"/>
          <w:lang w:eastAsia="ru-RU"/>
        </w:rPr>
        <w:t>с</w:t>
      </w:r>
      <w:proofErr w:type="gramEnd"/>
      <w:r w:rsidRPr="00C4170E">
        <w:rPr>
          <w:rFonts w:ascii="Arial" w:eastAsia="Times New Roman" w:hAnsi="Arial" w:cs="Arial"/>
          <w:color w:val="222222"/>
          <w:sz w:val="21"/>
          <w:szCs w:val="21"/>
          <w:lang w:eastAsia="ru-RU"/>
        </w:rPr>
        <w:t xml:space="preserve"> </w:t>
      </w:r>
      <w:proofErr w:type="gramStart"/>
      <w:r w:rsidRPr="00C4170E">
        <w:rPr>
          <w:rFonts w:ascii="Arial" w:eastAsia="Times New Roman" w:hAnsi="Arial" w:cs="Arial"/>
          <w:color w:val="222222"/>
          <w:sz w:val="21"/>
          <w:szCs w:val="21"/>
          <w:lang w:eastAsia="ru-RU"/>
        </w:rPr>
        <w:t>ироническим</w:t>
      </w:r>
      <w:proofErr w:type="gramEnd"/>
      <w:r w:rsidRPr="00C4170E">
        <w:rPr>
          <w:rFonts w:ascii="Arial" w:eastAsia="Times New Roman" w:hAnsi="Arial" w:cs="Arial"/>
          <w:color w:val="222222"/>
          <w:sz w:val="21"/>
          <w:szCs w:val="21"/>
          <w:lang w:eastAsia="ru-RU"/>
        </w:rPr>
        <w:t xml:space="preserve"> и становится формой репрезентации экзистенциального типа художественного сознания.</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 xml:space="preserve">В 1960-е гг. в творчестве </w:t>
      </w:r>
      <w:proofErr w:type="spellStart"/>
      <w:r w:rsidRPr="00C4170E">
        <w:rPr>
          <w:rFonts w:ascii="Arial" w:eastAsia="Times New Roman" w:hAnsi="Arial" w:cs="Arial"/>
          <w:color w:val="222222"/>
          <w:sz w:val="21"/>
          <w:szCs w:val="21"/>
          <w:lang w:eastAsia="ru-RU"/>
        </w:rPr>
        <w:t>Г.Афзала</w:t>
      </w:r>
      <w:proofErr w:type="spellEnd"/>
      <w:r w:rsidRPr="00C4170E">
        <w:rPr>
          <w:rFonts w:ascii="Arial" w:eastAsia="Times New Roman" w:hAnsi="Arial" w:cs="Arial"/>
          <w:color w:val="222222"/>
          <w:sz w:val="21"/>
          <w:szCs w:val="21"/>
          <w:lang w:eastAsia="ru-RU"/>
        </w:rPr>
        <w:t xml:space="preserve"> происходит дальнейшее развертывание и формирование приемов «эзопова языка», которые становятся стилеобразующими факторами. Поэт </w:t>
      </w:r>
      <w:proofErr w:type="spellStart"/>
      <w:r w:rsidRPr="00C4170E">
        <w:rPr>
          <w:rFonts w:ascii="Arial" w:eastAsia="Times New Roman" w:hAnsi="Arial" w:cs="Arial"/>
          <w:color w:val="222222"/>
          <w:sz w:val="21"/>
          <w:szCs w:val="21"/>
          <w:lang w:eastAsia="ru-RU"/>
        </w:rPr>
        <w:t>репрезентует</w:t>
      </w:r>
      <w:proofErr w:type="spellEnd"/>
      <w:r w:rsidRPr="00C4170E">
        <w:rPr>
          <w:rFonts w:ascii="Arial" w:eastAsia="Times New Roman" w:hAnsi="Arial" w:cs="Arial"/>
          <w:color w:val="222222"/>
          <w:sz w:val="21"/>
          <w:szCs w:val="21"/>
          <w:lang w:eastAsia="ru-RU"/>
        </w:rPr>
        <w:t xml:space="preserve"> новую концепцию человека: трусливого, пугливого, двуликого как типичного представителя тоталитарного режима.</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 </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proofErr w:type="gramStart"/>
      <w:r w:rsidRPr="00C4170E">
        <w:rPr>
          <w:rFonts w:ascii="Arial" w:eastAsia="Times New Roman" w:hAnsi="Arial" w:cs="Arial"/>
          <w:b/>
          <w:bCs/>
          <w:color w:val="222222"/>
          <w:sz w:val="21"/>
          <w:szCs w:val="21"/>
          <w:lang w:eastAsia="ru-RU"/>
        </w:rPr>
        <w:t>Ключевые слова:</w:t>
      </w:r>
      <w:r w:rsidRPr="00C4170E">
        <w:rPr>
          <w:rFonts w:ascii="Arial" w:eastAsia="Times New Roman" w:hAnsi="Arial" w:cs="Arial"/>
          <w:color w:val="222222"/>
          <w:sz w:val="21"/>
          <w:szCs w:val="21"/>
          <w:lang w:eastAsia="ru-RU"/>
        </w:rPr>
        <w:t> татарская литература, национальные культурные традиции, художественный прием, порождение «второго содержания», «эзопов язык», символ, лирический герой.</w:t>
      </w:r>
      <w:proofErr w:type="gramEnd"/>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r w:rsidRPr="00C4170E">
        <w:rPr>
          <w:rFonts w:ascii="Arial" w:eastAsia="Times New Roman" w:hAnsi="Arial" w:cs="Arial"/>
          <w:color w:val="222222"/>
          <w:sz w:val="21"/>
          <w:szCs w:val="21"/>
          <w:lang w:eastAsia="ru-RU"/>
        </w:rPr>
        <w:t> </w:t>
      </w:r>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hyperlink r:id="rId6" w:history="1">
        <w:r w:rsidRPr="00C4170E">
          <w:rPr>
            <w:rFonts w:ascii="Arial" w:eastAsia="Times New Roman" w:hAnsi="Arial" w:cs="Arial"/>
            <w:color w:val="551A8B"/>
            <w:sz w:val="21"/>
            <w:szCs w:val="21"/>
            <w:lang w:eastAsia="ru-RU"/>
          </w:rPr>
          <w:t>Статья</w:t>
        </w:r>
      </w:hyperlink>
    </w:p>
    <w:p w:rsidR="00C4170E" w:rsidRPr="00C4170E" w:rsidRDefault="00C4170E" w:rsidP="00C4170E">
      <w:pPr>
        <w:shd w:val="clear" w:color="auto" w:fill="FFFFFF"/>
        <w:spacing w:before="105" w:after="105" w:line="240" w:lineRule="auto"/>
        <w:rPr>
          <w:rFonts w:ascii="Arial" w:eastAsia="Times New Roman" w:hAnsi="Arial" w:cs="Arial"/>
          <w:color w:val="222222"/>
          <w:sz w:val="21"/>
          <w:szCs w:val="21"/>
          <w:lang w:eastAsia="ru-RU"/>
        </w:rPr>
      </w:pPr>
      <w:hyperlink r:id="rId7" w:history="1">
        <w:r w:rsidRPr="00C4170E">
          <w:rPr>
            <w:rFonts w:ascii="Arial" w:eastAsia="Times New Roman" w:hAnsi="Arial" w:cs="Arial"/>
            <w:color w:val="551A8B"/>
            <w:sz w:val="21"/>
            <w:szCs w:val="21"/>
            <w:lang w:eastAsia="ru-RU"/>
          </w:rPr>
          <w:t>Статья (полная версия)﻿</w:t>
        </w:r>
      </w:hyperlink>
    </w:p>
    <w:p w:rsidR="00750FDF" w:rsidRDefault="00C4170E"/>
    <w:p w:rsidR="00C4170E" w:rsidRDefault="00C4170E">
      <w:hyperlink r:id="rId8" w:history="1">
        <w:r w:rsidRPr="00093996">
          <w:rPr>
            <w:rStyle w:val="a3"/>
          </w:rPr>
          <w:t>https://kpfu.ru/priemy-inoskazaniya-v-tatarskoj-literature-kak-72031.html</w:t>
        </w:r>
      </w:hyperlink>
    </w:p>
    <w:p w:rsidR="00C4170E" w:rsidRDefault="00C4170E">
      <w:hyperlink r:id="rId9" w:history="1">
        <w:r w:rsidRPr="00093996">
          <w:rPr>
            <w:rStyle w:val="a3"/>
          </w:rPr>
          <w:t>https://kpfu.ru/docs/F862336390/09_Zagidullina.rus.pdf</w:t>
        </w:r>
      </w:hyperlink>
    </w:p>
    <w:p w:rsidR="00C4170E" w:rsidRDefault="00C4170E">
      <w:hyperlink r:id="rId10" w:history="1">
        <w:r w:rsidRPr="00093996">
          <w:rPr>
            <w:rStyle w:val="a3"/>
          </w:rPr>
          <w:t>https://kpfu.ru/docs/F2104594646/10.pdf</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1" w:history="1">
        <w:r w:rsidRPr="00C4170E">
          <w:rPr>
            <w:rFonts w:ascii="Arial" w:eastAsia="Times New Roman" w:hAnsi="Arial" w:cs="Arial"/>
            <w:b/>
            <w:bCs/>
            <w:color w:val="012A77"/>
            <w:sz w:val="24"/>
            <w:szCs w:val="24"/>
            <w:lang w:eastAsia="ru-RU"/>
          </w:rPr>
          <w:t>О журнале</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2" w:history="1">
        <w:r w:rsidRPr="00C4170E">
          <w:rPr>
            <w:rFonts w:ascii="Arial" w:eastAsia="Times New Roman" w:hAnsi="Arial" w:cs="Arial"/>
            <w:b/>
            <w:bCs/>
            <w:color w:val="012A77"/>
            <w:sz w:val="24"/>
            <w:szCs w:val="24"/>
            <w:lang w:eastAsia="ru-RU"/>
          </w:rPr>
          <w:t>Редколлегия</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3" w:history="1">
        <w:r w:rsidRPr="00C4170E">
          <w:rPr>
            <w:rFonts w:ascii="Arial" w:eastAsia="Times New Roman" w:hAnsi="Arial" w:cs="Arial"/>
            <w:b/>
            <w:bCs/>
            <w:color w:val="012A77"/>
            <w:sz w:val="24"/>
            <w:szCs w:val="24"/>
            <w:lang w:eastAsia="ru-RU"/>
          </w:rPr>
          <w:t>Свежий номер</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4" w:history="1">
        <w:r w:rsidRPr="00C4170E">
          <w:rPr>
            <w:rFonts w:ascii="Arial" w:eastAsia="Times New Roman" w:hAnsi="Arial" w:cs="Arial"/>
            <w:b/>
            <w:bCs/>
            <w:color w:val="012A77"/>
            <w:sz w:val="24"/>
            <w:szCs w:val="24"/>
            <w:lang w:eastAsia="ru-RU"/>
          </w:rPr>
          <w:t>Архив</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5" w:history="1">
        <w:r w:rsidRPr="00C4170E">
          <w:rPr>
            <w:rFonts w:ascii="Arial" w:eastAsia="Times New Roman" w:hAnsi="Arial" w:cs="Arial"/>
            <w:b/>
            <w:bCs/>
            <w:color w:val="012A77"/>
            <w:sz w:val="24"/>
            <w:szCs w:val="24"/>
            <w:lang w:eastAsia="ru-RU"/>
          </w:rPr>
          <w:t>Авторы</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6" w:history="1">
        <w:r w:rsidRPr="00C4170E">
          <w:rPr>
            <w:rFonts w:ascii="Arial" w:eastAsia="Times New Roman" w:hAnsi="Arial" w:cs="Arial"/>
            <w:b/>
            <w:bCs/>
            <w:color w:val="012A77"/>
            <w:sz w:val="24"/>
            <w:szCs w:val="24"/>
            <w:lang w:eastAsia="ru-RU"/>
          </w:rPr>
          <w:t>Разделы журнала "</w:t>
        </w:r>
        <w:proofErr w:type="spellStart"/>
        <w:r w:rsidRPr="00C4170E">
          <w:rPr>
            <w:rFonts w:ascii="Arial" w:eastAsia="Times New Roman" w:hAnsi="Arial" w:cs="Arial"/>
            <w:b/>
            <w:bCs/>
            <w:color w:val="012A77"/>
            <w:sz w:val="24"/>
            <w:szCs w:val="24"/>
            <w:lang w:eastAsia="ru-RU"/>
          </w:rPr>
          <w:t>Tatarica</w:t>
        </w:r>
        <w:proofErr w:type="spellEnd"/>
        <w:r w:rsidRPr="00C4170E">
          <w:rPr>
            <w:rFonts w:ascii="Arial" w:eastAsia="Times New Roman" w:hAnsi="Arial" w:cs="Arial"/>
            <w:b/>
            <w:bCs/>
            <w:color w:val="012A77"/>
            <w:sz w:val="24"/>
            <w:szCs w:val="24"/>
            <w:lang w:eastAsia="ru-RU"/>
          </w:rPr>
          <w:t>"</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7" w:history="1">
        <w:r w:rsidRPr="00C4170E">
          <w:rPr>
            <w:rFonts w:ascii="Arial" w:eastAsia="Times New Roman" w:hAnsi="Arial" w:cs="Arial"/>
            <w:b/>
            <w:bCs/>
            <w:color w:val="012A77"/>
            <w:sz w:val="24"/>
            <w:szCs w:val="24"/>
            <w:lang w:eastAsia="ru-RU"/>
          </w:rPr>
          <w:t>Сведения для авторов</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8" w:history="1">
        <w:r w:rsidRPr="00C4170E">
          <w:rPr>
            <w:rFonts w:ascii="Arial" w:eastAsia="Times New Roman" w:hAnsi="Arial" w:cs="Arial"/>
            <w:b/>
            <w:bCs/>
            <w:color w:val="012A77"/>
            <w:sz w:val="24"/>
            <w:szCs w:val="24"/>
            <w:lang w:eastAsia="ru-RU"/>
          </w:rPr>
          <w:t>Порядок рецензирования рукописей</w:t>
        </w:r>
      </w:hyperlink>
    </w:p>
    <w:p w:rsidR="00C4170E" w:rsidRPr="00C4170E" w:rsidRDefault="00C4170E" w:rsidP="00C4170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9" w:history="1">
        <w:r w:rsidRPr="00C4170E">
          <w:rPr>
            <w:rFonts w:ascii="Arial" w:eastAsia="Times New Roman" w:hAnsi="Arial" w:cs="Arial"/>
            <w:b/>
            <w:bCs/>
            <w:color w:val="012A77"/>
            <w:sz w:val="24"/>
            <w:szCs w:val="24"/>
            <w:lang w:eastAsia="ru-RU"/>
          </w:rPr>
          <w:t>Редакционная этика</w:t>
        </w:r>
      </w:hyperlink>
    </w:p>
    <w:p w:rsidR="00C4170E" w:rsidRDefault="00C4170E">
      <w:bookmarkStart w:id="0" w:name="_GoBack"/>
      <w:bookmarkEnd w:id="0"/>
    </w:p>
    <w:sectPr w:rsidR="00C417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874A09"/>
    <w:multiLevelType w:val="multilevel"/>
    <w:tmpl w:val="DE145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283"/>
    <w:rsid w:val="002C0283"/>
    <w:rsid w:val="00630516"/>
    <w:rsid w:val="00684CE9"/>
    <w:rsid w:val="00C41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17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17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20502">
      <w:bodyDiv w:val="1"/>
      <w:marLeft w:val="0"/>
      <w:marRight w:val="0"/>
      <w:marTop w:val="0"/>
      <w:marBottom w:val="0"/>
      <w:divBdr>
        <w:top w:val="none" w:sz="0" w:space="0" w:color="auto"/>
        <w:left w:val="none" w:sz="0" w:space="0" w:color="auto"/>
        <w:bottom w:val="none" w:sz="0" w:space="0" w:color="auto"/>
        <w:right w:val="none" w:sz="0" w:space="0" w:color="auto"/>
      </w:divBdr>
      <w:divsChild>
        <w:div w:id="1417438375">
          <w:marLeft w:val="0"/>
          <w:marRight w:val="0"/>
          <w:marTop w:val="0"/>
          <w:marBottom w:val="0"/>
          <w:divBdr>
            <w:top w:val="none" w:sz="0" w:space="0" w:color="auto"/>
            <w:left w:val="none" w:sz="0" w:space="0" w:color="auto"/>
            <w:bottom w:val="none" w:sz="0" w:space="0" w:color="auto"/>
            <w:right w:val="none" w:sz="0" w:space="0" w:color="auto"/>
          </w:divBdr>
          <w:divsChild>
            <w:div w:id="38117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43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fu.ru/priemy-inoskazaniya-v-tatarskoj-literature-kak-72031.html" TargetMode="External"/><Relationship Id="rId13" Type="http://schemas.openxmlformats.org/officeDocument/2006/relationships/hyperlink" Target="https://kpfu.ru/philology-culture/zhurnal-39tatarica39/svezhij-nomer-32781" TargetMode="External"/><Relationship Id="rId18" Type="http://schemas.openxmlformats.org/officeDocument/2006/relationships/hyperlink" Target="https://kpfu.ru/philology-culture/zhurnal-39tatarica39/poryadok-recenzirovaniya-rukopisej"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kpfu.ru/docs/F2104594646/10.pdf" TargetMode="External"/><Relationship Id="rId12" Type="http://schemas.openxmlformats.org/officeDocument/2006/relationships/hyperlink" Target="https://kpfu.ru/philology-culture/zhurnal-39tatarica39/redakciya" TargetMode="External"/><Relationship Id="rId17" Type="http://schemas.openxmlformats.org/officeDocument/2006/relationships/hyperlink" Target="https://kpfu.ru/philology-culture/zhurnal-39tatarica39/svedeniya-dlya-avtorov" TargetMode="External"/><Relationship Id="rId2" Type="http://schemas.openxmlformats.org/officeDocument/2006/relationships/styles" Target="styles.xml"/><Relationship Id="rId16" Type="http://schemas.openxmlformats.org/officeDocument/2006/relationships/hyperlink" Target="https://kpfu.ru/philology-culture/zhurnal-39tatarica39/razdely-zhurnala-39tatarica3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kpfu.ru/docs/F862336390/09_Zagidullina.rus.pdf" TargetMode="External"/><Relationship Id="rId11" Type="http://schemas.openxmlformats.org/officeDocument/2006/relationships/hyperlink" Target="https://kpfu.ru/science/nauchnye-izdaniya/httpkpfuruphilology-culturezhurnal-39tatarica39" TargetMode="External"/><Relationship Id="rId5" Type="http://schemas.openxmlformats.org/officeDocument/2006/relationships/webSettings" Target="webSettings.xml"/><Relationship Id="rId15" Type="http://schemas.openxmlformats.org/officeDocument/2006/relationships/hyperlink" Target="https://kpfu.ru/philology-culture/zhurnal-39tatarica39/svedeniya-ob-avtorah" TargetMode="External"/><Relationship Id="rId10" Type="http://schemas.openxmlformats.org/officeDocument/2006/relationships/hyperlink" Target="https://kpfu.ru/docs/F2104594646/10.pdf" TargetMode="External"/><Relationship Id="rId19" Type="http://schemas.openxmlformats.org/officeDocument/2006/relationships/hyperlink" Target="https://kpfu.ru/philology-culture/zhurnal-39tatarica39/redakcionnaya-etika" TargetMode="External"/><Relationship Id="rId4" Type="http://schemas.openxmlformats.org/officeDocument/2006/relationships/settings" Target="settings.xml"/><Relationship Id="rId9" Type="http://schemas.openxmlformats.org/officeDocument/2006/relationships/hyperlink" Target="https://kpfu.ru/docs/F862336390/09_Zagidullina.rus.pdf" TargetMode="External"/><Relationship Id="rId14" Type="http://schemas.openxmlformats.org/officeDocument/2006/relationships/hyperlink" Target="https://kpfu.ru/philology-culture/zhurnal-39tatarica39/arhi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Хайбуллина Ангелина Айратовна</dc:creator>
  <cp:keywords/>
  <dc:description/>
  <cp:lastModifiedBy>Хайбуллина Ангелина Айратовна</cp:lastModifiedBy>
  <cp:revision>2</cp:revision>
  <dcterms:created xsi:type="dcterms:W3CDTF">2018-07-03T13:37:00Z</dcterms:created>
  <dcterms:modified xsi:type="dcterms:W3CDTF">2018-07-03T13:38:00Z</dcterms:modified>
</cp:coreProperties>
</file>